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ind w:firstLine="880"/>
        <w:jc w:val="center"/>
        <w:rPr>
          <w:rFonts w:hint="eastAsia" w:ascii="方正小标宋_GBK" w:hAnsi="宋体" w:eastAsia="方正小标宋_GBK"/>
          <w:sz w:val="44"/>
          <w:szCs w:val="44"/>
        </w:rPr>
      </w:pPr>
    </w:p>
    <w:p>
      <w:pPr>
        <w:ind w:firstLine="880"/>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木垒哈萨克自治县大南沟乌孜别克族乡中心学校</w:t>
      </w:r>
    </w:p>
    <w:p>
      <w:pPr>
        <w:ind w:firstLine="880"/>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pPr>
        <w:ind w:firstLine="880"/>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ind w:firstLine="880"/>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ind w:firstLine="723"/>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ind w:firstLine="420"/>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pPr>
        <w:ind w:firstLine="420"/>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ind w:firstLine="420"/>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ind w:firstLine="420"/>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firstLine="42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rPr>
          <w:rFonts w:ascii="仿宋_GB2312" w:eastAsia="仿宋_GB2312"/>
          <w:sz w:val="32"/>
          <w:szCs w:val="32"/>
        </w:rPr>
      </w:pPr>
      <w:r>
        <w:rPr>
          <w:rFonts w:hint="eastAsia" w:ascii="仿宋_GB2312" w:eastAsia="仿宋_GB2312"/>
          <w:sz w:val="32"/>
          <w:szCs w:val="32"/>
        </w:rPr>
        <w:t>木垒哈萨克自治县大南沟乌孜别克族乡中心学校的主要职能是：</w:t>
      </w:r>
    </w:p>
    <w:p>
      <w:pPr>
        <w:ind w:firstLine="640" w:firstLineChars="200"/>
        <w:rPr>
          <w:rFonts w:ascii="仿宋_GB2312" w:eastAsia="仿宋_GB2312"/>
          <w:sz w:val="32"/>
          <w:szCs w:val="32"/>
        </w:rPr>
      </w:pPr>
      <w:r>
        <w:rPr>
          <w:rFonts w:hint="eastAsia" w:ascii="仿宋_GB2312" w:eastAsia="仿宋_GB2312"/>
          <w:sz w:val="32"/>
          <w:szCs w:val="32"/>
        </w:rPr>
        <w:t>实施小学义务教育，促进基础教育发展，小学学历教育。</w:t>
      </w:r>
    </w:p>
    <w:p>
      <w:pPr>
        <w:ind w:firstLine="640" w:firstLineChars="200"/>
        <w:rPr>
          <w:rFonts w:ascii="仿宋_GB2312" w:eastAsia="仿宋_GB2312"/>
          <w:sz w:val="32"/>
          <w:szCs w:val="32"/>
        </w:rPr>
      </w:pPr>
      <w:r>
        <w:rPr>
          <w:rFonts w:hint="eastAsia" w:ascii="仿宋_GB2312" w:eastAsia="仿宋_GB2312"/>
          <w:sz w:val="32"/>
          <w:szCs w:val="32"/>
        </w:rPr>
        <w:t>木垒哈萨克自治县大南沟乌孜别克族乡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木垒哈萨克自治县大南沟乌孜别克族乡中心学校2023年度，实有人数</w:t>
      </w:r>
      <w:r>
        <w:rPr>
          <w:rFonts w:hint="eastAsia" w:ascii="仿宋_GB2312" w:eastAsia="仿宋_GB2312"/>
          <w:sz w:val="32"/>
          <w:szCs w:val="32"/>
          <w:lang w:val="zh-CN"/>
        </w:rPr>
        <w:t>79</w:t>
      </w:r>
      <w:r>
        <w:rPr>
          <w:rFonts w:hint="eastAsia" w:ascii="仿宋_GB2312" w:eastAsia="仿宋_GB2312"/>
          <w:sz w:val="32"/>
          <w:szCs w:val="32"/>
        </w:rPr>
        <w:t>人，其中：在职人员</w:t>
      </w:r>
      <w:r>
        <w:rPr>
          <w:rFonts w:hint="eastAsia" w:ascii="仿宋_GB2312" w:eastAsia="仿宋_GB2312"/>
          <w:sz w:val="32"/>
          <w:szCs w:val="32"/>
          <w:lang w:val="zh-CN"/>
        </w:rPr>
        <w:t>60</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19</w:t>
      </w:r>
      <w:r>
        <w:rPr>
          <w:rFonts w:hint="eastAsia" w:ascii="仿宋_GB2312" w:eastAsia="仿宋_GB2312"/>
          <w:sz w:val="32"/>
          <w:szCs w:val="32"/>
        </w:rPr>
        <w:t>人。</w:t>
      </w:r>
    </w:p>
    <w:p>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单位无下属预算单位，下设4个处室，分别是：教务室、德育室、总务室、财务室</w:t>
      </w:r>
      <w:r>
        <w:rPr>
          <w:rFonts w:hint="eastAsia" w:ascii="仿宋_GB2312" w:hAnsi="宋体" w:eastAsia="仿宋_GB2312" w:cs="宋体"/>
          <w:kern w:val="0"/>
          <w:sz w:val="32"/>
          <w:szCs w:val="32"/>
        </w:rPr>
        <w:t>。</w:t>
      </w:r>
    </w:p>
    <w:p>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2023年度收入总计1,178.13万元，其中：本年收入合计1,178.13万元，使用非财政拨款结余0.00万元，年初结转和结余0.00万元。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2023年度支出总计1,178.13万元，其中：本年支出合计1,178.07万元，结余分配0.00万元，年末结转和结余0.06万元。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增加74.28万元</w:t>
      </w:r>
      <w:r>
        <w:rPr>
          <w:rFonts w:hint="eastAsia" w:ascii="仿宋_GB2312" w:eastAsia="仿宋_GB2312"/>
          <w:sz w:val="32"/>
          <w:szCs w:val="32"/>
        </w:rPr>
        <w:t>，增长6.73%，主要原因是：单位本年城乡义务教育补助经费增加。</w:t>
      </w:r>
    </w:p>
    <w:p>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本年收入1,178.13万元，其中：财政拨款收入</w:t>
      </w:r>
      <w:r>
        <w:rPr>
          <w:rFonts w:hint="eastAsia" w:ascii="仿宋_GB2312" w:eastAsia="仿宋_GB2312"/>
          <w:sz w:val="32"/>
          <w:szCs w:val="32"/>
          <w:lang w:val="zh-CN"/>
        </w:rPr>
        <w:t>1,168.06</w:t>
      </w:r>
      <w:r>
        <w:rPr>
          <w:rFonts w:hint="eastAsia" w:ascii="仿宋_GB2312" w:eastAsia="仿宋_GB2312"/>
          <w:sz w:val="32"/>
          <w:szCs w:val="32"/>
        </w:rPr>
        <w:t>万元，占</w:t>
      </w:r>
      <w:r>
        <w:rPr>
          <w:rFonts w:hint="eastAsia" w:ascii="仿宋_GB2312" w:eastAsia="仿宋_GB2312"/>
          <w:sz w:val="32"/>
          <w:szCs w:val="32"/>
          <w:lang w:val="zh-CN"/>
        </w:rPr>
        <w:t>99.15</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10.07</w:t>
      </w:r>
      <w:r>
        <w:rPr>
          <w:rFonts w:hint="eastAsia" w:ascii="仿宋_GB2312" w:eastAsia="仿宋_GB2312"/>
          <w:sz w:val="32"/>
          <w:szCs w:val="32"/>
        </w:rPr>
        <w:t>万元，占</w:t>
      </w:r>
      <w:r>
        <w:rPr>
          <w:rFonts w:hint="eastAsia" w:ascii="仿宋_GB2312" w:eastAsia="仿宋_GB2312"/>
          <w:sz w:val="32"/>
          <w:szCs w:val="32"/>
          <w:lang w:val="zh-CN"/>
        </w:rPr>
        <w:t>0.85</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本年支出1,178.07万元，其中：基本支出1,103.74万元，占93.69%；项目支出74.33万元，占6.31%；上缴上级支出0.00万元，占0.00%；经营支出0.00万元，占0.00%；对附属单位补助支出0.00万元，占0.00%。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1,168.06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1,168.06</w:t>
      </w:r>
      <w:r>
        <w:rPr>
          <w:rFonts w:hint="eastAsia" w:ascii="仿宋_GB2312" w:eastAsia="仿宋_GB2312"/>
          <w:sz w:val="32"/>
          <w:szCs w:val="32"/>
        </w:rPr>
        <w:t>万元。财政拨款支出总计</w:t>
      </w:r>
      <w:r>
        <w:rPr>
          <w:rFonts w:hint="eastAsia" w:ascii="仿宋_GB2312" w:eastAsia="仿宋_GB2312"/>
          <w:sz w:val="32"/>
          <w:szCs w:val="32"/>
          <w:lang w:val="zh-CN"/>
        </w:rPr>
        <w:t>1,168.06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1,168.06</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增加64.21万元</w:t>
      </w:r>
      <w:r>
        <w:rPr>
          <w:rFonts w:hint="eastAsia" w:ascii="仿宋_GB2312" w:eastAsia="仿宋_GB2312"/>
          <w:sz w:val="32"/>
          <w:szCs w:val="32"/>
        </w:rPr>
        <w:t>，增长5.82%,主要原因是：单位本年城乡义务教育补助经费增加。与年初预算相比，年初预算数</w:t>
      </w:r>
      <w:r>
        <w:rPr>
          <w:rFonts w:hint="eastAsia" w:ascii="仿宋_GB2312" w:eastAsia="仿宋_GB2312"/>
          <w:sz w:val="32"/>
          <w:szCs w:val="32"/>
          <w:lang w:val="zh-CN"/>
        </w:rPr>
        <w:t>1,102.33</w:t>
      </w:r>
      <w:r>
        <w:rPr>
          <w:rFonts w:hint="eastAsia" w:ascii="仿宋_GB2312" w:eastAsia="仿宋_GB2312"/>
          <w:sz w:val="32"/>
          <w:szCs w:val="32"/>
        </w:rPr>
        <w:t>万元，决算数</w:t>
      </w:r>
      <w:r>
        <w:rPr>
          <w:rFonts w:hint="eastAsia" w:ascii="仿宋_GB2312" w:eastAsia="仿宋_GB2312"/>
          <w:sz w:val="32"/>
          <w:szCs w:val="32"/>
          <w:lang w:val="zh-CN"/>
        </w:rPr>
        <w:t>1,168.06</w:t>
      </w:r>
      <w:r>
        <w:rPr>
          <w:rFonts w:hint="eastAsia" w:ascii="仿宋_GB2312" w:eastAsia="仿宋_GB2312"/>
          <w:sz w:val="32"/>
          <w:szCs w:val="32"/>
        </w:rPr>
        <w:t>万元，预决算差异率5.96%，主要原因是：年中追加城乡义务教育补助项目经费。</w:t>
      </w:r>
    </w:p>
    <w:p>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2023年度一般公共预算财政拨款支出1,168.06万元，占本年支出合计的</w:t>
      </w:r>
      <w:r>
        <w:rPr>
          <w:rFonts w:hint="eastAsia" w:ascii="仿宋_GB2312" w:eastAsia="仿宋_GB2312"/>
          <w:sz w:val="32"/>
          <w:szCs w:val="32"/>
          <w:lang w:val="zh-CN"/>
        </w:rPr>
        <w:t>99.15%</w:t>
      </w:r>
      <w:r>
        <w:rPr>
          <w:rFonts w:hint="eastAsia" w:ascii="仿宋_GB2312" w:eastAsia="仿宋_GB2312"/>
          <w:sz w:val="32"/>
          <w:szCs w:val="32"/>
        </w:rPr>
        <w:t>。与上年相比，</w:t>
      </w:r>
      <w:r>
        <w:rPr>
          <w:rFonts w:hint="eastAsia" w:ascii="仿宋_GB2312" w:eastAsia="仿宋_GB2312"/>
          <w:sz w:val="32"/>
          <w:szCs w:val="32"/>
          <w:lang w:val="zh-CN"/>
        </w:rPr>
        <w:t>增加64.21万元</w:t>
      </w:r>
      <w:r>
        <w:rPr>
          <w:rFonts w:hint="eastAsia" w:ascii="仿宋_GB2312" w:eastAsia="仿宋_GB2312"/>
          <w:sz w:val="32"/>
          <w:szCs w:val="32"/>
        </w:rPr>
        <w:t>，增长5.82%,主要原因是：单位本年城乡义务教育补助经费增加。与年初预算相比，年初预算数</w:t>
      </w:r>
      <w:r>
        <w:rPr>
          <w:rFonts w:hint="eastAsia" w:ascii="仿宋_GB2312" w:eastAsia="仿宋_GB2312"/>
          <w:sz w:val="32"/>
          <w:szCs w:val="32"/>
          <w:lang w:val="zh-CN"/>
        </w:rPr>
        <w:t>1,102.33</w:t>
      </w:r>
      <w:r>
        <w:rPr>
          <w:rFonts w:hint="eastAsia" w:ascii="仿宋_GB2312" w:eastAsia="仿宋_GB2312"/>
          <w:sz w:val="32"/>
          <w:szCs w:val="32"/>
        </w:rPr>
        <w:t>万元，决算数</w:t>
      </w:r>
      <w:r>
        <w:rPr>
          <w:rFonts w:hint="eastAsia" w:ascii="仿宋_GB2312" w:eastAsia="仿宋_GB2312"/>
          <w:sz w:val="32"/>
          <w:szCs w:val="32"/>
          <w:lang w:val="zh-CN"/>
        </w:rPr>
        <w:t>1,168.06</w:t>
      </w:r>
      <w:r>
        <w:rPr>
          <w:rFonts w:hint="eastAsia" w:ascii="仿宋_GB2312" w:eastAsia="仿宋_GB2312"/>
          <w:sz w:val="32"/>
          <w:szCs w:val="32"/>
        </w:rPr>
        <w:t>万元，预决算差异率</w:t>
      </w:r>
      <w:r>
        <w:rPr>
          <w:rFonts w:hint="eastAsia" w:ascii="仿宋_GB2312" w:eastAsia="仿宋_GB2312"/>
          <w:sz w:val="32"/>
          <w:szCs w:val="32"/>
          <w:lang w:val="zh-CN"/>
        </w:rPr>
        <w:t>5.96%</w:t>
      </w:r>
      <w:r>
        <w:rPr>
          <w:rFonts w:hint="eastAsia" w:ascii="仿宋_GB2312" w:eastAsia="仿宋_GB2312"/>
          <w:sz w:val="32"/>
          <w:szCs w:val="32"/>
        </w:rPr>
        <w:t>，主要原因是：年中追加城乡义务教育补助项目经费。</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1,147.37</w:t>
      </w:r>
      <w:r>
        <w:rPr>
          <w:rFonts w:ascii="仿宋_GB2312" w:eastAsia="仿宋_GB2312"/>
          <w:kern w:val="2"/>
          <w:sz w:val="32"/>
          <w:szCs w:val="32"/>
          <w:lang w:val="zh-CN"/>
        </w:rPr>
        <w:t>万元，占</w:t>
      </w:r>
      <w:r>
        <w:rPr>
          <w:rFonts w:hint="eastAsia" w:ascii="仿宋_GB2312" w:eastAsia="仿宋_GB2312"/>
          <w:kern w:val="2"/>
          <w:sz w:val="32"/>
          <w:szCs w:val="32"/>
          <w:lang w:val="zh-CN"/>
        </w:rPr>
        <w:t>98.23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20.69</w:t>
      </w:r>
      <w:r>
        <w:rPr>
          <w:rFonts w:ascii="仿宋_GB2312" w:eastAsia="仿宋_GB2312"/>
          <w:kern w:val="2"/>
          <w:sz w:val="32"/>
          <w:szCs w:val="32"/>
          <w:lang w:val="zh-CN"/>
        </w:rPr>
        <w:t>万元，占</w:t>
      </w:r>
      <w:r>
        <w:rPr>
          <w:rFonts w:hint="eastAsia" w:ascii="仿宋_GB2312" w:eastAsia="仿宋_GB2312"/>
          <w:kern w:val="2"/>
          <w:sz w:val="32"/>
          <w:szCs w:val="32"/>
          <w:lang w:val="zh-CN"/>
        </w:rPr>
        <w:t>1.77</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ascii="仿宋_GB2312" w:eastAsia="仿宋_GB2312"/>
          <w:sz w:val="32"/>
          <w:szCs w:val="32"/>
          <w:lang w:val="zh-CN"/>
        </w:rPr>
      </w:pPr>
      <w:r>
        <w:rPr>
          <w:rFonts w:hint="eastAsia" w:ascii="仿宋_GB2312" w:eastAsia="仿宋_GB2312"/>
          <w:sz w:val="32"/>
          <w:szCs w:val="32"/>
        </w:rPr>
        <w:t>1.教育支出（类）教育费附加安排的支出（款）其他教育费附加安排的支出（项）:支出决算数为2.87万元，比上年决算增加2.87万元，增长100%，主要原因是：单位本年新增</w:t>
      </w:r>
      <w:r>
        <w:rPr>
          <w:rFonts w:hint="eastAsia" w:ascii="仿宋_GB2312" w:eastAsia="仿宋_GB2312"/>
          <w:sz w:val="32"/>
          <w:szCs w:val="32"/>
          <w:lang w:val="zh-CN"/>
        </w:rPr>
        <w:t>课后服务经费。</w:t>
      </w:r>
    </w:p>
    <w:p>
      <w:pPr>
        <w:ind w:firstLine="640" w:firstLineChars="200"/>
        <w:rPr>
          <w:rFonts w:ascii="仿宋_GB2312" w:eastAsia="仿宋_GB2312"/>
          <w:sz w:val="32"/>
          <w:szCs w:val="32"/>
        </w:rPr>
      </w:pPr>
      <w:r>
        <w:rPr>
          <w:rFonts w:hint="eastAsia" w:ascii="仿宋_GB2312" w:eastAsia="仿宋_GB2312"/>
          <w:sz w:val="32"/>
          <w:szCs w:val="32"/>
        </w:rPr>
        <w:t>2.社会保障和就业支出（类）抚恤（款）死亡抚恤（项）:支出决算数为6.34万元，比上年决算增加0.00万元，增长0.00%，主要原因是：与上年对比无差异。</w:t>
      </w:r>
    </w:p>
    <w:p>
      <w:pPr>
        <w:ind w:firstLine="640" w:firstLineChars="200"/>
        <w:rPr>
          <w:rFonts w:ascii="仿宋_GB2312" w:eastAsia="仿宋_GB2312"/>
          <w:sz w:val="32"/>
          <w:szCs w:val="32"/>
          <w:lang w:val="zh-CN"/>
        </w:rPr>
      </w:pPr>
      <w:r>
        <w:rPr>
          <w:rFonts w:hint="eastAsia" w:ascii="仿宋_GB2312" w:eastAsia="仿宋_GB2312"/>
          <w:sz w:val="32"/>
          <w:szCs w:val="32"/>
        </w:rPr>
        <w:t>3.教育支出（类）普通教育（款）小学教育（项）:支出决算数为958.02万元，比上年决算增加26.56万元，增长2.85%，主要原因是：单位本年教育系统取暖费增加</w:t>
      </w:r>
      <w:r>
        <w:rPr>
          <w:rFonts w:hint="eastAsia" w:ascii="仿宋_GB2312" w:eastAsia="仿宋_GB2312"/>
          <w:sz w:val="32"/>
          <w:szCs w:val="32"/>
          <w:lang w:val="zh-CN"/>
        </w:rPr>
        <w:t>。</w:t>
      </w:r>
    </w:p>
    <w:p>
      <w:pPr>
        <w:ind w:firstLine="640" w:firstLineChars="200"/>
        <w:rPr>
          <w:rFonts w:ascii="仿宋_GB2312" w:eastAsia="仿宋_GB2312"/>
          <w:sz w:val="32"/>
          <w:szCs w:val="32"/>
          <w:lang w:val="zh-CN"/>
        </w:rPr>
      </w:pPr>
      <w:r>
        <w:rPr>
          <w:rFonts w:hint="eastAsia" w:ascii="仿宋_GB2312" w:eastAsia="仿宋_GB2312"/>
          <w:sz w:val="32"/>
          <w:szCs w:val="32"/>
        </w:rPr>
        <w:t>4.社会保障和就业支出（类）行政事业单位养老支出（款）事业单位离退休（项）:支出决算数为5.76万元，比上年决算增加3.64万元，增长171.19%，主要原因是：单位本年</w:t>
      </w:r>
      <w:r>
        <w:rPr>
          <w:rFonts w:hint="eastAsia" w:ascii="仿宋_GB2312" w:eastAsia="仿宋_GB2312"/>
          <w:sz w:val="32"/>
          <w:szCs w:val="32"/>
          <w:lang w:val="zh-CN"/>
        </w:rPr>
        <w:t>退休教师绩效奖金增加。</w:t>
      </w:r>
    </w:p>
    <w:p>
      <w:pPr>
        <w:ind w:firstLine="640" w:firstLineChars="200"/>
        <w:rPr>
          <w:rFonts w:ascii="仿宋_GB2312" w:eastAsia="仿宋_GB2312"/>
          <w:sz w:val="32"/>
          <w:szCs w:val="32"/>
          <w:lang w:val="zh-CN"/>
        </w:rPr>
      </w:pPr>
      <w:r>
        <w:rPr>
          <w:rFonts w:hint="eastAsia" w:ascii="仿宋_GB2312" w:eastAsia="仿宋_GB2312"/>
          <w:sz w:val="32"/>
          <w:szCs w:val="32"/>
        </w:rPr>
        <w:t>5.教育支出（类）普通教育（款）学前教育（项）:支出决算数为186.48万元，比上年决算增加32.33万元，增长20.97%，主要原因是：单位本年增加</w:t>
      </w:r>
      <w:r>
        <w:rPr>
          <w:rFonts w:hint="eastAsia" w:ascii="仿宋_GB2312" w:eastAsia="仿宋_GB2312"/>
          <w:sz w:val="32"/>
          <w:szCs w:val="32"/>
          <w:lang w:val="zh-CN"/>
        </w:rPr>
        <w:t>学前三年免费教育保障机制经费。</w:t>
      </w:r>
    </w:p>
    <w:p>
      <w:pPr>
        <w:ind w:firstLine="640" w:firstLineChars="200"/>
        <w:rPr>
          <w:rFonts w:ascii="仿宋_GB2312" w:eastAsia="仿宋_GB2312"/>
          <w:sz w:val="32"/>
          <w:szCs w:val="32"/>
          <w:lang w:val="zh-CN"/>
        </w:rPr>
      </w:pPr>
      <w:r>
        <w:rPr>
          <w:rFonts w:hint="eastAsia" w:ascii="仿宋_GB2312" w:eastAsia="仿宋_GB2312"/>
          <w:sz w:val="32"/>
          <w:szCs w:val="32"/>
        </w:rPr>
        <w:t>6.社会保障和就业支出（类）行政事业单位养老支出（款）机关事业单位职业年金缴费支出（项）:支出决算数为8.60万元，比上年决算减少1.18万元，下降12.11%，主要原因是：单位本年</w:t>
      </w:r>
      <w:r>
        <w:rPr>
          <w:rFonts w:hint="eastAsia" w:ascii="仿宋_GB2312" w:eastAsia="仿宋_GB2312"/>
          <w:sz w:val="32"/>
          <w:szCs w:val="32"/>
          <w:lang w:val="zh-CN"/>
        </w:rPr>
        <w:t>退休教师减少，职业年金缴费支出减少。</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1,093.73万元，其中：人员经费1,078.48万元，包括：基本工资、津贴补贴、奖金、机关事业单位基本养老保险缴费、职业年金缴费、职工基本医疗保险缴费、其他社会保障缴费、住房公积金、退休费、生活补助、助学金、奖励金、其他对个人和家庭的补助。</w:t>
      </w:r>
    </w:p>
    <w:p>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公用经费15.25万元，包括：水费、电费、取暖费。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车辆对比无差异</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lang w:val="zh-CN"/>
        </w:rPr>
        <w:t>2023年度</w:t>
      </w:r>
      <w:r>
        <w:rPr>
          <w:rFonts w:hint="eastAsia" w:ascii="仿宋_GB2312" w:eastAsia="仿宋_GB2312"/>
          <w:sz w:val="32"/>
          <w:szCs w:val="32"/>
        </w:rPr>
        <w:t>木垒哈萨克自治县大南沟乌孜别克族乡中心学校（事业单位）公用经费支出15.25万元，</w:t>
      </w:r>
      <w:r>
        <w:rPr>
          <w:rFonts w:hint="eastAsia" w:ascii="仿宋_GB2312" w:eastAsia="仿宋_GB2312"/>
          <w:sz w:val="32"/>
          <w:szCs w:val="32"/>
          <w:lang w:val="zh-CN"/>
        </w:rPr>
        <w:t>比上年增加12.34万元，增长424.05%，主要原因是：</w:t>
      </w:r>
      <w:r>
        <w:rPr>
          <w:rFonts w:hint="eastAsia" w:ascii="仿宋_GB2312" w:eastAsia="仿宋_GB2312"/>
          <w:sz w:val="32"/>
          <w:szCs w:val="32"/>
        </w:rPr>
        <w:t>单位本年</w:t>
      </w:r>
      <w:r>
        <w:rPr>
          <w:rFonts w:hint="eastAsia" w:ascii="仿宋_GB2312" w:eastAsia="仿宋_GB2312"/>
          <w:sz w:val="32"/>
          <w:szCs w:val="32"/>
          <w:lang w:val="zh-CN"/>
        </w:rPr>
        <w:t>电费、取暖费</w:t>
      </w:r>
      <w:r>
        <w:rPr>
          <w:rFonts w:hint="eastAsia" w:ascii="仿宋_GB2312" w:eastAsia="仿宋_GB2312"/>
          <w:sz w:val="32"/>
          <w:szCs w:val="32"/>
        </w:rPr>
        <w:t>较上年增加。</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2023年度政府采购支出总额0.00万元，其中：政府采购货物支出0.00万元、政府采购工程支出0.00万元、政府采购服务支出0.00万元。</w:t>
      </w:r>
    </w:p>
    <w:p>
      <w:pPr>
        <w:ind w:firstLine="640" w:firstLineChars="200"/>
        <w:jc w:val="left"/>
        <w:rPr>
          <w:rFonts w:ascii="仿宋_GB2312" w:eastAsia="仿宋_GB2312"/>
          <w:sz w:val="32"/>
          <w:szCs w:val="32"/>
        </w:rPr>
      </w:pPr>
      <w:r>
        <w:rPr>
          <w:rFonts w:hint="eastAsia" w:ascii="仿宋_GB2312" w:eastAsia="仿宋_GB2312"/>
          <w:sz w:val="32"/>
          <w:szCs w:val="32"/>
          <w:lang w:val="zh-CN"/>
        </w:rPr>
        <w:t>授予中小企业合同金额0.00万元，占政府采购支出总额的0.00</w:t>
      </w:r>
      <w:r>
        <w:rPr>
          <w:rFonts w:ascii="仿宋_GB2312" w:eastAsia="仿宋_GB2312"/>
          <w:sz w:val="32"/>
          <w:szCs w:val="32"/>
          <w:lang w:val="zh-CN"/>
        </w:rPr>
        <w:t>%</w:t>
      </w:r>
      <w:r>
        <w:rPr>
          <w:rFonts w:hint="eastAsia" w:ascii="仿宋_GB2312" w:eastAsia="仿宋_GB2312"/>
          <w:sz w:val="32"/>
          <w:szCs w:val="32"/>
          <w:lang w:val="zh-CN"/>
        </w:rPr>
        <w:t>，其中：授予小微企业合同金额0.00万元，占政府采购支出总额的0.00</w:t>
      </w:r>
      <w:r>
        <w:rPr>
          <w:rFonts w:ascii="仿宋_GB2312" w:eastAsia="仿宋_GB2312"/>
          <w:sz w:val="32"/>
          <w:szCs w:val="32"/>
          <w:lang w:val="zh-CN"/>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jc w:val="left"/>
        <w:rPr>
          <w:rFonts w:hint="eastAsia" w:ascii="黑体" w:hAnsi="黑体" w:eastAsia="黑体" w:cs="宋体"/>
          <w:bCs/>
          <w:kern w:val="0"/>
          <w:sz w:val="32"/>
          <w:szCs w:val="32"/>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1,556.28</w:t>
      </w:r>
      <w:r>
        <w:rPr>
          <w:rFonts w:hint="eastAsia" w:ascii="仿宋_GB2312" w:eastAsia="仿宋_GB2312"/>
          <w:sz w:val="32"/>
          <w:szCs w:val="32"/>
        </w:rPr>
        <w:t>万元，房</w:t>
      </w:r>
      <w:r>
        <w:rPr>
          <w:rFonts w:hint="eastAsia" w:ascii="仿宋_GB2312" w:eastAsia="仿宋_GB2312"/>
          <w:sz w:val="32"/>
          <w:szCs w:val="32"/>
          <w:lang w:val="zh-CN"/>
        </w:rPr>
        <w:t>屋5</w:t>
      </w:r>
      <w:r>
        <w:rPr>
          <w:rFonts w:hint="eastAsia" w:ascii="仿宋_GB2312" w:eastAsia="仿宋_GB2312"/>
          <w:sz w:val="32"/>
          <w:szCs w:val="32"/>
        </w:rPr>
        <w:t>,</w:t>
      </w:r>
      <w:r>
        <w:rPr>
          <w:rFonts w:hint="eastAsia" w:ascii="仿宋_GB2312" w:eastAsia="仿宋_GB2312"/>
          <w:sz w:val="32"/>
          <w:szCs w:val="32"/>
          <w:lang w:val="zh-CN"/>
        </w:rPr>
        <w:t>295.86平方米，价值1,210.69万元。车辆0辆，价值0.00万元，其中：副部（省）级及以上领导用车0辆、主要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用车0辆、其他用车0辆，其他用车主要是：</w:t>
      </w:r>
      <w:r>
        <w:rPr>
          <w:rFonts w:hint="eastAsia" w:ascii="仿宋_GB2312" w:eastAsia="仿宋_GB2312"/>
          <w:sz w:val="32"/>
          <w:szCs w:val="32"/>
        </w:rPr>
        <w:t>单位无其他用车</w:t>
      </w:r>
      <w:r>
        <w:rPr>
          <w:rFonts w:hint="eastAsia" w:ascii="仿宋_GB2312" w:eastAsia="仿宋_GB2312"/>
          <w:sz w:val="32"/>
          <w:szCs w:val="32"/>
          <w:lang w:val="zh-CN"/>
        </w:rPr>
        <w:t>；单价100万元（含）以上设备（不含车辆）0</w:t>
      </w:r>
      <w:r>
        <w:rPr>
          <w:rFonts w:hint="eastAsia" w:ascii="仿宋_GB2312" w:eastAsia="仿宋_GB2312"/>
          <w:sz w:val="32"/>
          <w:szCs w:val="32"/>
        </w:rPr>
        <w:t>台（</w:t>
      </w:r>
      <w:r>
        <w:rPr>
          <w:rFonts w:hint="eastAsia" w:ascii="仿宋_GB2312" w:eastAsia="仿宋_GB2312"/>
          <w:sz w:val="32"/>
          <w:szCs w:val="32"/>
          <w:lang w:val="zh-CN"/>
        </w:rPr>
        <w:t>套）。</w:t>
      </w:r>
      <w:bookmarkStart w:id="28" w:name="_Toc11283"/>
      <w:bookmarkStart w:id="29" w:name="_Toc435"/>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w:t>
      </w:r>
      <w:r>
        <w:rPr>
          <w:rFonts w:hint="eastAsia" w:ascii="仿宋_GB2312" w:eastAsia="仿宋_GB2312"/>
          <w:sz w:val="32"/>
          <w:szCs w:val="32"/>
        </w:rPr>
        <w:t>绩效自评表1个，全年预算总额1,178.13万元，实际执行总额1,178.07万元；预算绩效评价项目0个，全年预算数0.00万元，全年执行数0.00万元。预算绩效管理取得的成效：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Style w:val="9"/>
        <w:tblW w:w="5137" w:type="pct"/>
        <w:jc w:val="center"/>
        <w:tblLayout w:type="fixed"/>
        <w:tblCellMar>
          <w:top w:w="0" w:type="dxa"/>
          <w:left w:w="108" w:type="dxa"/>
          <w:bottom w:w="0" w:type="dxa"/>
          <w:right w:w="108" w:type="dxa"/>
        </w:tblCellMar>
      </w:tblPr>
      <w:tblGrid>
        <w:gridCol w:w="1811"/>
        <w:gridCol w:w="927"/>
        <w:gridCol w:w="1202"/>
        <w:gridCol w:w="1116"/>
        <w:gridCol w:w="1096"/>
        <w:gridCol w:w="795"/>
        <w:gridCol w:w="903"/>
        <w:gridCol w:w="906"/>
      </w:tblGrid>
      <w:tr>
        <w:tblPrEx>
          <w:tblCellMar>
            <w:top w:w="0" w:type="dxa"/>
            <w:left w:w="108" w:type="dxa"/>
            <w:bottom w:w="0" w:type="dxa"/>
            <w:right w:w="108" w:type="dxa"/>
          </w:tblCellMar>
        </w:tblPrEx>
        <w:trPr>
          <w:trHeight w:val="522" w:hRule="atLeast"/>
          <w:jc w:val="center"/>
        </w:trPr>
        <w:tc>
          <w:tcPr>
            <w:tcW w:w="8756"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部门（单位）整体支出绩效目标自评表</w:t>
            </w:r>
          </w:p>
        </w:tc>
      </w:tr>
      <w:tr>
        <w:tblPrEx>
          <w:tblCellMar>
            <w:top w:w="0" w:type="dxa"/>
            <w:left w:w="108" w:type="dxa"/>
            <w:bottom w:w="0" w:type="dxa"/>
            <w:right w:w="108" w:type="dxa"/>
          </w:tblCellMar>
        </w:tblPrEx>
        <w:trPr>
          <w:trHeight w:val="360" w:hRule="atLeast"/>
          <w:jc w:val="center"/>
        </w:trPr>
        <w:tc>
          <w:tcPr>
            <w:tcW w:w="8756"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tblPrEx>
          <w:tblCellMar>
            <w:top w:w="0" w:type="dxa"/>
            <w:left w:w="108" w:type="dxa"/>
            <w:bottom w:w="0" w:type="dxa"/>
            <w:right w:w="108" w:type="dxa"/>
          </w:tblCellMar>
        </w:tblPrEx>
        <w:trPr>
          <w:trHeight w:val="660" w:hRule="atLeast"/>
          <w:jc w:val="center"/>
        </w:trPr>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w:t>
            </w:r>
          </w:p>
        </w:tc>
        <w:tc>
          <w:tcPr>
            <w:tcW w:w="694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木垒哈萨克自治县大南沟乌孜别克族乡中心学校</w:t>
            </w:r>
          </w:p>
        </w:tc>
      </w:tr>
      <w:tr>
        <w:tblPrEx>
          <w:tblCellMar>
            <w:top w:w="0" w:type="dxa"/>
            <w:left w:w="108" w:type="dxa"/>
            <w:bottom w:w="0" w:type="dxa"/>
            <w:right w:w="108" w:type="dxa"/>
          </w:tblCellMar>
        </w:tblPrEx>
        <w:trPr>
          <w:trHeight w:val="570" w:hRule="atLeast"/>
          <w:jc w:val="center"/>
        </w:trPr>
        <w:tc>
          <w:tcPr>
            <w:tcW w:w="18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部门资金（万元）</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tblPrEx>
          <w:tblCellMar>
            <w:top w:w="0" w:type="dxa"/>
            <w:left w:w="108" w:type="dxa"/>
            <w:bottom w:w="0" w:type="dxa"/>
            <w:right w:w="108" w:type="dxa"/>
          </w:tblCellMar>
        </w:tblPrEx>
        <w:trPr>
          <w:trHeight w:val="88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中央安排</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30.94</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24.44</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24.44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88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自治区安排</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5.81</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16.73</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16.73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88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地（州、市）安排</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88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bookmarkStart w:id="48" w:name="_GoBack" w:colFirst="5" w:colLast="7"/>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县（市、区）安排</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1,065.58</w:t>
            </w:r>
          </w:p>
        </w:tc>
        <w:tc>
          <w:tcPr>
            <w:tcW w:w="1116" w:type="dxa"/>
            <w:tcBorders>
              <w:top w:val="nil"/>
              <w:left w:val="nil"/>
              <w:bottom w:val="nil"/>
              <w:right w:val="nil"/>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1,126.95</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1,126.89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left"/>
              <w:rPr>
                <w:rFonts w:hint="eastAsia" w:ascii="宋体" w:hAnsi="宋体" w:cs="宋体"/>
                <w:color w:val="000000"/>
                <w:sz w:val="20"/>
                <w:szCs w:val="20"/>
              </w:rPr>
            </w:pPr>
            <w:r>
              <w:rPr>
                <w:rFonts w:hint="eastAsia"/>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left"/>
              <w:rPr>
                <w:rFonts w:hint="eastAsia" w:ascii="宋体" w:hAnsi="宋体" w:cs="宋体"/>
                <w:color w:val="000000"/>
                <w:sz w:val="20"/>
                <w:szCs w:val="20"/>
              </w:rPr>
            </w:pPr>
            <w:r>
              <w:rPr>
                <w:rFonts w:hint="eastAsia"/>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left"/>
              <w:rPr>
                <w:rFonts w:hint="eastAsia" w:ascii="宋体" w:hAnsi="宋体" w:cs="宋体"/>
                <w:color w:val="000000"/>
                <w:sz w:val="20"/>
                <w:szCs w:val="20"/>
              </w:rPr>
            </w:pPr>
            <w:r>
              <w:rPr>
                <w:rFonts w:hint="eastAsia"/>
              </w:rPr>
              <w:t>-</w:t>
            </w:r>
          </w:p>
        </w:tc>
      </w:tr>
      <w:tr>
        <w:tblPrEx>
          <w:tblCellMar>
            <w:top w:w="0" w:type="dxa"/>
            <w:left w:w="108" w:type="dxa"/>
            <w:bottom w:w="0" w:type="dxa"/>
            <w:right w:w="108" w:type="dxa"/>
          </w:tblCellMar>
        </w:tblPrEx>
        <w:trPr>
          <w:trHeight w:val="88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10.01</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left"/>
              <w:rPr>
                <w:rFonts w:hint="eastAsia" w:ascii="宋体" w:hAnsi="宋体" w:cs="宋体"/>
                <w:color w:val="000000"/>
                <w:sz w:val="20"/>
                <w:szCs w:val="20"/>
              </w:rPr>
            </w:pPr>
            <w:r>
              <w:rPr>
                <w:rFonts w:hint="eastAsia"/>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left"/>
              <w:rPr>
                <w:rFonts w:hint="eastAsia" w:ascii="宋体" w:hAnsi="宋体" w:cs="宋体"/>
                <w:color w:val="000000"/>
                <w:sz w:val="20"/>
                <w:szCs w:val="20"/>
              </w:rPr>
            </w:pPr>
            <w:r>
              <w:rPr>
                <w:rFonts w:hint="eastAsia"/>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left"/>
              <w:rPr>
                <w:rFonts w:hint="eastAsia" w:ascii="宋体" w:hAnsi="宋体" w:cs="宋体"/>
                <w:color w:val="000000"/>
                <w:sz w:val="20"/>
                <w:szCs w:val="20"/>
              </w:rPr>
            </w:pPr>
            <w:r>
              <w:rPr>
                <w:rFonts w:hint="eastAsia"/>
              </w:rPr>
              <w:t>-</w:t>
            </w:r>
          </w:p>
        </w:tc>
      </w:tr>
      <w:bookmarkEnd w:id="48"/>
      <w:tr>
        <w:tblPrEx>
          <w:tblCellMar>
            <w:top w:w="0" w:type="dxa"/>
            <w:left w:w="108" w:type="dxa"/>
            <w:bottom w:w="0" w:type="dxa"/>
            <w:right w:w="108" w:type="dxa"/>
          </w:tblCellMar>
        </w:tblPrEx>
        <w:trPr>
          <w:trHeight w:val="88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1,102.33</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1,178.13</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1,178.07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705" w:hRule="atLeast"/>
          <w:jc w:val="center"/>
        </w:trPr>
        <w:tc>
          <w:tcPr>
            <w:tcW w:w="18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324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370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tblPrEx>
          <w:tblCellMar>
            <w:top w:w="0" w:type="dxa"/>
            <w:left w:w="108" w:type="dxa"/>
            <w:bottom w:w="0" w:type="dxa"/>
            <w:right w:w="108" w:type="dxa"/>
          </w:tblCellMar>
        </w:tblPrEx>
        <w:trPr>
          <w:trHeight w:val="200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32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目标1：宣传贯彻执行党和国家的教育方针、政策、法律法规等坚持依法执教、依法治学，贯彻执行县教育局的行政规章制度；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 xml:space="preserve">目标2：组织开展本校的教育科学科研和教育教学改革，全力推进素质教育实施；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目标3：按照义务教育课程计划，开齐课程，开足课时，认真实施小学的教育教学管理，全面推进素质教育，全面提高教育教学质量。</w:t>
            </w:r>
          </w:p>
        </w:tc>
        <w:tc>
          <w:tcPr>
            <w:tcW w:w="37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截止2023年12月31日，本单位已完成义务教育入学数量220人，学前教育入学数量76人，开展班主任、德育教师国培培训数量20人，开展教师送交下乡、外出讲大赛课、外出听课次数15次，开展教研活动数量80次，持续改善更新办学条件，提高学校竞争力和办学能力，促进学校可持续发展。</w:t>
            </w:r>
          </w:p>
        </w:tc>
      </w:tr>
      <w:tr>
        <w:tblPrEx>
          <w:tblCellMar>
            <w:top w:w="0" w:type="dxa"/>
            <w:left w:w="108" w:type="dxa"/>
            <w:bottom w:w="0" w:type="dxa"/>
            <w:right w:w="108" w:type="dxa"/>
          </w:tblCellMar>
        </w:tblPrEx>
        <w:trPr>
          <w:trHeight w:val="580" w:hRule="atLeast"/>
          <w:jc w:val="center"/>
        </w:trPr>
        <w:tc>
          <w:tcPr>
            <w:tcW w:w="18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预期指标值</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指标值设定依据</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实际完成指标值</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tblPrEx>
          <w:tblCellMar>
            <w:top w:w="0" w:type="dxa"/>
            <w:left w:w="108" w:type="dxa"/>
            <w:bottom w:w="0" w:type="dxa"/>
            <w:right w:w="108" w:type="dxa"/>
          </w:tblCellMar>
        </w:tblPrEx>
        <w:trPr>
          <w:trHeight w:val="740" w:hRule="atLeast"/>
          <w:jc w:val="center"/>
        </w:trPr>
        <w:tc>
          <w:tcPr>
            <w:tcW w:w="18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9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保障办公人员数量</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＞=57人</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木垒哈萨克自治县乌孜别克乡中心学校机构改革方案</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60人</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r>
        <w:tblPrEx>
          <w:tblCellMar>
            <w:top w:w="0" w:type="dxa"/>
            <w:left w:w="108" w:type="dxa"/>
            <w:bottom w:w="0" w:type="dxa"/>
            <w:right w:w="108" w:type="dxa"/>
          </w:tblCellMar>
        </w:tblPrEx>
        <w:trPr>
          <w:trHeight w:val="740" w:hRule="atLeast"/>
          <w:jc w:val="center"/>
        </w:trPr>
        <w:tc>
          <w:tcPr>
            <w:tcW w:w="18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资助学生人数</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&gt;=60人</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木垒县乌孜别克乡中心学校2023年工作计划</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71人</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r>
        <w:tblPrEx>
          <w:tblCellMar>
            <w:top w:w="0" w:type="dxa"/>
            <w:left w:w="108" w:type="dxa"/>
            <w:bottom w:w="0" w:type="dxa"/>
            <w:right w:w="108" w:type="dxa"/>
          </w:tblCellMar>
        </w:tblPrEx>
        <w:trPr>
          <w:trHeight w:val="74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开展教师培训数量</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&gt;=3次</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木垒县乌孜别克乡中心学校2023年工作计划</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3次</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74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各类考试完成及时率</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木垒县乌孜别克乡中心学校2023年工作计划</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74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控辍保学率</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&lt;=0%</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木垒县乌孜别克乡中心学校2023年工作计划</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r>
      <w:tr>
        <w:tblPrEx>
          <w:tblCellMar>
            <w:top w:w="0" w:type="dxa"/>
            <w:left w:w="108" w:type="dxa"/>
            <w:bottom w:w="0" w:type="dxa"/>
            <w:right w:w="108" w:type="dxa"/>
          </w:tblCellMar>
        </w:tblPrEx>
        <w:trPr>
          <w:trHeight w:val="74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助学金发放及时率</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木垒县乌孜别克乡中心学校2023年工作计划</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740" w:hRule="atLeast"/>
          <w:jc w:val="center"/>
        </w:trPr>
        <w:tc>
          <w:tcPr>
            <w:tcW w:w="18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各类培训及学习次数</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&gt;=20次</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木垒县乌孜别克乡中心学校2023年工作计划</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20次</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740" w:hRule="atLeast"/>
          <w:jc w:val="center"/>
        </w:trPr>
        <w:tc>
          <w:tcPr>
            <w:tcW w:w="1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9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教师培训合格率</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&gt;=90%</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木垒县乌孜别克乡中心学校2023年工作计划</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tblPrEx>
          <w:tblCellMar>
            <w:top w:w="0" w:type="dxa"/>
            <w:left w:w="108" w:type="dxa"/>
            <w:bottom w:w="0" w:type="dxa"/>
            <w:right w:w="108" w:type="dxa"/>
          </w:tblCellMar>
        </w:tblPrEx>
        <w:trPr>
          <w:trHeight w:val="740" w:hRule="atLeast"/>
          <w:jc w:val="center"/>
        </w:trPr>
        <w:tc>
          <w:tcPr>
            <w:tcW w:w="18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w:t>
            </w:r>
          </w:p>
        </w:tc>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740" w:hRule="atLeast"/>
          <w:jc w:val="center"/>
        </w:trPr>
        <w:tc>
          <w:tcPr>
            <w:tcW w:w="18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可持续发展能力</w:t>
            </w:r>
          </w:p>
        </w:tc>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740" w:hRule="atLeast"/>
          <w:jc w:val="center"/>
        </w:trPr>
        <w:tc>
          <w:tcPr>
            <w:tcW w:w="18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hint="eastAsia" w:ascii="宋体" w:hAnsi="宋体" w:cs="宋体"/>
                <w:color w:val="000000"/>
                <w:sz w:val="20"/>
                <w:szCs w:val="20"/>
              </w:rPr>
            </w:pP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师生满意度</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木垒县乌孜别克乡中心学校2023年工作计划</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bl>
    <w:p>
      <w:pPr>
        <w:ind w:firstLine="640" w:firstLineChars="200"/>
        <w:jc w:val="left"/>
        <w:rPr>
          <w:rFonts w:hint="eastAsia" w:ascii="黑体" w:hAnsi="黑体" w:eastAsia="黑体" w:cs="宋体"/>
          <w:bCs/>
          <w:kern w:val="0"/>
          <w:sz w:val="32"/>
          <w:szCs w:val="32"/>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991277"/>
    <w:rsid w:val="00213C59"/>
    <w:rsid w:val="003210CE"/>
    <w:rsid w:val="00857F41"/>
    <w:rsid w:val="00927AD6"/>
    <w:rsid w:val="009506EC"/>
    <w:rsid w:val="00956DFD"/>
    <w:rsid w:val="00991277"/>
    <w:rsid w:val="00B70D59"/>
    <w:rsid w:val="00E42C94"/>
    <w:rsid w:val="00E465B1"/>
    <w:rsid w:val="00F52A8D"/>
    <w:rsid w:val="019404F8"/>
    <w:rsid w:val="02BD3108"/>
    <w:rsid w:val="02F73D26"/>
    <w:rsid w:val="034D4FEF"/>
    <w:rsid w:val="035D1785"/>
    <w:rsid w:val="039F47CE"/>
    <w:rsid w:val="03E05CE8"/>
    <w:rsid w:val="03F973EE"/>
    <w:rsid w:val="043E5B56"/>
    <w:rsid w:val="04C04386"/>
    <w:rsid w:val="04D96608"/>
    <w:rsid w:val="04FA68C4"/>
    <w:rsid w:val="053053BB"/>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A9A0328"/>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0F6482"/>
    <w:rsid w:val="4B4C0111"/>
    <w:rsid w:val="4B8553A9"/>
    <w:rsid w:val="4BB70638"/>
    <w:rsid w:val="4BDB3730"/>
    <w:rsid w:val="4C200F7A"/>
    <w:rsid w:val="4CEE3180"/>
    <w:rsid w:val="4D0F4AF6"/>
    <w:rsid w:val="4DF94F37"/>
    <w:rsid w:val="4E0A1DD5"/>
    <w:rsid w:val="4E3160E5"/>
    <w:rsid w:val="4E4D37AF"/>
    <w:rsid w:val="4E8B79FA"/>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0DE4D57"/>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40552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9419C0"/>
    <w:rsid w:val="7AE952D2"/>
    <w:rsid w:val="7C7248A0"/>
    <w:rsid w:val="7C976D69"/>
    <w:rsid w:val="7CC32946"/>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toc 3"/>
    <w:basedOn w:val="1"/>
    <w:next w:val="1"/>
    <w:autoRedefine/>
    <w:qFormat/>
    <w:uiPriority w:val="0"/>
    <w:pPr>
      <w:ind w:left="840" w:leftChars="400"/>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autoRedefine/>
    <w:qFormat/>
    <w:uiPriority w:val="0"/>
  </w:style>
  <w:style w:type="paragraph" w:styleId="7">
    <w:name w:val="toc 2"/>
    <w:basedOn w:val="1"/>
    <w:next w:val="1"/>
    <w:autoRedefine/>
    <w:qFormat/>
    <w:uiPriority w:val="0"/>
    <w:pPr>
      <w:ind w:left="420" w:leftChars="200"/>
    </w:pPr>
  </w:style>
  <w:style w:type="paragraph" w:styleId="8">
    <w:name w:val="Normal (Web)"/>
    <w:basedOn w:val="1"/>
    <w:autoRedefine/>
    <w:qFormat/>
    <w:uiPriority w:val="0"/>
    <w:pPr>
      <w:spacing w:before="100" w:beforeAutospacing="1" w:after="100" w:afterAutospacing="1"/>
      <w:jc w:val="left"/>
    </w:pPr>
    <w:rPr>
      <w:kern w:val="0"/>
      <w:sz w:val="24"/>
    </w:rPr>
  </w:style>
  <w:style w:type="character" w:styleId="11">
    <w:name w:val="Strong"/>
    <w:basedOn w:val="10"/>
    <w:autoRedefine/>
    <w:qFormat/>
    <w:uiPriority w:val="0"/>
    <w:rPr>
      <w:b/>
    </w:rPr>
  </w:style>
  <w:style w:type="paragraph" w:customStyle="1" w:styleId="12">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autoRedefine/>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5874</Words>
  <Characters>6677</Characters>
  <Lines>55</Lines>
  <Paragraphs>15</Paragraphs>
  <TotalTime>21</TotalTime>
  <ScaleCrop>false</ScaleCrop>
  <LinksUpToDate>false</LinksUpToDate>
  <CharactersWithSpaces>6689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2024-09-02T09:15:42Z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